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1B" w:rsidRDefault="001D4D1B" w:rsidP="001D4D1B">
      <w:pPr>
        <w:ind w:left="-57"/>
        <w:rPr>
          <w:rFonts w:asciiTheme="minorHAnsi" w:hAnsiTheme="minorHAnsi" w:cstheme="minorHAnsi"/>
          <w:b/>
          <w:sz w:val="36"/>
          <w:szCs w:val="36"/>
        </w:rPr>
      </w:pPr>
    </w:p>
    <w:p w:rsidR="00C53471" w:rsidRDefault="00C53471" w:rsidP="001D4D1B">
      <w:pPr>
        <w:ind w:left="-57"/>
        <w:rPr>
          <w:rFonts w:asciiTheme="minorHAnsi" w:hAnsiTheme="minorHAnsi" w:cstheme="minorHAnsi"/>
          <w:b/>
          <w:sz w:val="36"/>
          <w:szCs w:val="36"/>
        </w:rPr>
      </w:pPr>
    </w:p>
    <w:p w:rsidR="00000000" w:rsidRPr="001D4D1B" w:rsidRDefault="008F6A2C" w:rsidP="001D4D1B">
      <w:pPr>
        <w:ind w:left="-57"/>
        <w:rPr>
          <w:rFonts w:asciiTheme="minorHAnsi" w:hAnsiTheme="minorHAnsi" w:cstheme="minorHAnsi"/>
          <w:b/>
          <w:sz w:val="36"/>
          <w:szCs w:val="36"/>
        </w:rPr>
      </w:pPr>
      <w:r w:rsidRPr="001D4D1B">
        <w:rPr>
          <w:rFonts w:asciiTheme="minorHAnsi" w:hAnsiTheme="minorHAnsi" w:cstheme="minorHAnsi"/>
          <w:b/>
          <w:sz w:val="36"/>
          <w:szCs w:val="36"/>
        </w:rPr>
        <w:t xml:space="preserve">Les </w:t>
      </w:r>
      <w:r w:rsidRPr="001D4D1B">
        <w:rPr>
          <w:rFonts w:asciiTheme="minorHAnsi" w:hAnsiTheme="minorHAnsi" w:cstheme="minorHAnsi"/>
          <w:b/>
          <w:sz w:val="36"/>
          <w:szCs w:val="36"/>
        </w:rPr>
        <w:t>degrés jours unifiés)</w:t>
      </w:r>
      <w:r w:rsidR="001D4D1B" w:rsidRPr="001D4D1B">
        <w:rPr>
          <w:rFonts w:asciiTheme="minorHAnsi" w:hAnsiTheme="minorHAnsi" w:cstheme="minorHAnsi"/>
          <w:b/>
          <w:sz w:val="36"/>
          <w:szCs w:val="36"/>
        </w:rPr>
        <w:t xml:space="preserve"> (</w:t>
      </w:r>
      <w:r w:rsidR="001D4D1B" w:rsidRPr="001D4D1B">
        <w:rPr>
          <w:rFonts w:asciiTheme="minorHAnsi" w:hAnsiTheme="minorHAnsi" w:cstheme="minorHAnsi"/>
          <w:b/>
          <w:sz w:val="36"/>
          <w:szCs w:val="36"/>
        </w:rPr>
        <w:t>DJU</w:t>
      </w:r>
      <w:r w:rsidR="001D4D1B" w:rsidRPr="001D4D1B">
        <w:rPr>
          <w:rFonts w:asciiTheme="minorHAnsi" w:hAnsiTheme="minorHAnsi" w:cstheme="minorHAnsi"/>
          <w:b/>
          <w:sz w:val="36"/>
          <w:szCs w:val="36"/>
        </w:rPr>
        <w:t>)</w:t>
      </w:r>
    </w:p>
    <w:p w:rsidR="00000000" w:rsidRPr="00FF5B5B" w:rsidRDefault="008F6A2C" w:rsidP="001D4D1B">
      <w:pPr>
        <w:ind w:left="-57"/>
        <w:rPr>
          <w:rFonts w:asciiTheme="minorHAnsi" w:hAnsiTheme="minorHAnsi" w:cstheme="minorHAnsi"/>
        </w:rPr>
      </w:pPr>
    </w:p>
    <w:p w:rsidR="001D4D1B" w:rsidRDefault="001D4D1B" w:rsidP="001D4D1B">
      <w:pPr>
        <w:ind w:left="-57"/>
        <w:jc w:val="both"/>
        <w:rPr>
          <w:rFonts w:asciiTheme="minorHAnsi" w:hAnsiTheme="minorHAnsi" w:cstheme="minorHAnsi"/>
          <w:sz w:val="26"/>
          <w:szCs w:val="26"/>
        </w:rPr>
      </w:pPr>
    </w:p>
    <w:p w:rsidR="00000000" w:rsidRDefault="008F6A2C" w:rsidP="001D4D1B">
      <w:pPr>
        <w:ind w:left="-57"/>
        <w:jc w:val="both"/>
        <w:rPr>
          <w:rFonts w:asciiTheme="minorHAnsi" w:hAnsiTheme="minorHAnsi" w:cstheme="minorHAnsi"/>
          <w:sz w:val="26"/>
          <w:szCs w:val="26"/>
        </w:rPr>
      </w:pPr>
      <w:r w:rsidRPr="001D4D1B">
        <w:rPr>
          <w:rFonts w:asciiTheme="minorHAnsi" w:hAnsiTheme="minorHAnsi" w:cstheme="minorHAnsi"/>
          <w:sz w:val="26"/>
          <w:szCs w:val="26"/>
        </w:rPr>
        <w:t>Les degrés jours unifiés permettent d'évaluer la sévérité du climat</w:t>
      </w:r>
      <w:r w:rsidRPr="001D4D1B">
        <w:rPr>
          <w:rFonts w:asciiTheme="minorHAnsi" w:hAnsiTheme="minorHAnsi" w:cstheme="minorHAnsi"/>
          <w:sz w:val="26"/>
          <w:szCs w:val="26"/>
        </w:rPr>
        <w:t xml:space="preserve"> de la région dans laquelle se trouve l’habitation</w:t>
      </w:r>
      <w:r w:rsidR="001D4D1B">
        <w:rPr>
          <w:rFonts w:asciiTheme="minorHAnsi" w:hAnsiTheme="minorHAnsi" w:cstheme="minorHAnsi"/>
          <w:sz w:val="26"/>
          <w:szCs w:val="26"/>
        </w:rPr>
        <w:t xml:space="preserve"> </w:t>
      </w:r>
      <w:r w:rsidRPr="001D4D1B">
        <w:rPr>
          <w:rFonts w:asciiTheme="minorHAnsi" w:hAnsiTheme="minorHAnsi" w:cstheme="minorHAnsi"/>
          <w:sz w:val="26"/>
          <w:szCs w:val="26"/>
        </w:rPr>
        <w:t xml:space="preserve">permettant ainsi de </w:t>
      </w:r>
      <w:r w:rsidRPr="001D4D1B">
        <w:rPr>
          <w:rFonts w:asciiTheme="minorHAnsi" w:hAnsiTheme="minorHAnsi" w:cstheme="minorHAnsi"/>
          <w:sz w:val="26"/>
          <w:szCs w:val="26"/>
        </w:rPr>
        <w:t>mieux évaluer les besoins thermiques</w:t>
      </w:r>
      <w:r w:rsidR="001D4D1B">
        <w:rPr>
          <w:rFonts w:asciiTheme="minorHAnsi" w:hAnsiTheme="minorHAnsi" w:cstheme="minorHAnsi"/>
          <w:sz w:val="26"/>
          <w:szCs w:val="26"/>
        </w:rPr>
        <w:t xml:space="preserve"> de cette habitation</w:t>
      </w:r>
      <w:r w:rsidRPr="001D4D1B">
        <w:rPr>
          <w:rFonts w:asciiTheme="minorHAnsi" w:hAnsiTheme="minorHAnsi" w:cstheme="minorHAnsi"/>
          <w:sz w:val="26"/>
          <w:szCs w:val="26"/>
        </w:rPr>
        <w:t xml:space="preserve"> pendant la période de chauffe</w:t>
      </w:r>
      <w:r w:rsidRPr="001D4D1B">
        <w:rPr>
          <w:rFonts w:asciiTheme="minorHAnsi" w:hAnsiTheme="minorHAnsi" w:cstheme="minorHAnsi"/>
          <w:sz w:val="26"/>
          <w:szCs w:val="26"/>
        </w:rPr>
        <w:t xml:space="preserve">. Pour chaque </w:t>
      </w:r>
      <w:r w:rsidRPr="001D4D1B">
        <w:rPr>
          <w:rFonts w:asciiTheme="minorHAnsi" w:hAnsiTheme="minorHAnsi" w:cstheme="minorHAnsi"/>
          <w:sz w:val="26"/>
          <w:szCs w:val="26"/>
        </w:rPr>
        <w:t>jour de la période de chauffage qui peut varier d’une région à l’autre (23</w:t>
      </w:r>
      <w:r w:rsidR="001D4D1B">
        <w:rPr>
          <w:rFonts w:asciiTheme="minorHAnsi" w:hAnsiTheme="minorHAnsi" w:cstheme="minorHAnsi"/>
          <w:sz w:val="26"/>
          <w:szCs w:val="26"/>
        </w:rPr>
        <w:t>2</w:t>
      </w:r>
      <w:r w:rsidRPr="001D4D1B">
        <w:rPr>
          <w:rFonts w:asciiTheme="minorHAnsi" w:hAnsiTheme="minorHAnsi" w:cstheme="minorHAnsi"/>
          <w:sz w:val="26"/>
          <w:szCs w:val="26"/>
        </w:rPr>
        <w:t xml:space="preserve"> jours par exemple en moyenne pour la région parisienne) la différence entre </w:t>
      </w:r>
      <w:smartTag w:uri="urn:schemas-microsoft-com:office:smarttags" w:element="metricconverter">
        <w:smartTagPr>
          <w:attr w:name="ProductID" w:val="18 °C"/>
        </w:smartTagPr>
        <w:r w:rsidRPr="001D4D1B">
          <w:rPr>
            <w:rFonts w:asciiTheme="minorHAnsi" w:hAnsiTheme="minorHAnsi" w:cstheme="minorHAnsi"/>
            <w:sz w:val="26"/>
            <w:szCs w:val="26"/>
          </w:rPr>
          <w:t>18 °C</w:t>
        </w:r>
      </w:smartTag>
      <w:r w:rsidRPr="001D4D1B">
        <w:rPr>
          <w:rFonts w:asciiTheme="minorHAnsi" w:hAnsiTheme="minorHAnsi" w:cstheme="minorHAnsi"/>
          <w:sz w:val="26"/>
          <w:szCs w:val="26"/>
        </w:rPr>
        <w:t xml:space="preserve"> et la température extérieure moyenne du jour est notée. L'addition des 232 valeurs obtenues donne </w:t>
      </w:r>
      <w:r w:rsidRPr="001D4D1B">
        <w:rPr>
          <w:rFonts w:asciiTheme="minorHAnsi" w:hAnsiTheme="minorHAnsi" w:cstheme="minorHAnsi"/>
          <w:sz w:val="26"/>
          <w:szCs w:val="26"/>
        </w:rPr>
        <w:t>le nombre de DJU.  Les DJU varie</w:t>
      </w:r>
      <w:r w:rsidR="001D4D1B">
        <w:rPr>
          <w:rFonts w:asciiTheme="minorHAnsi" w:hAnsiTheme="minorHAnsi" w:cstheme="minorHAnsi"/>
          <w:sz w:val="26"/>
          <w:szCs w:val="26"/>
        </w:rPr>
        <w:t>nt</w:t>
      </w:r>
      <w:r w:rsidRPr="001D4D1B">
        <w:rPr>
          <w:rFonts w:asciiTheme="minorHAnsi" w:hAnsiTheme="minorHAnsi" w:cstheme="minorHAnsi"/>
          <w:sz w:val="26"/>
          <w:szCs w:val="26"/>
        </w:rPr>
        <w:t xml:space="preserve"> en France d’une façon importante selon l’altitude de la station d’observation et la localisation du département ou a été faite la mesure (de 4475 DJU pour </w:t>
      </w:r>
      <w:r w:rsidRPr="001D4D1B">
        <w:rPr>
          <w:rFonts w:asciiTheme="minorHAnsi" w:hAnsiTheme="minorHAnsi" w:cstheme="minorHAnsi"/>
          <w:i/>
          <w:sz w:val="26"/>
          <w:szCs w:val="26"/>
        </w:rPr>
        <w:t xml:space="preserve">Le </w:t>
      </w:r>
      <w:proofErr w:type="spellStart"/>
      <w:r w:rsidRPr="001D4D1B">
        <w:rPr>
          <w:rFonts w:asciiTheme="minorHAnsi" w:hAnsiTheme="minorHAnsi" w:cstheme="minorHAnsi"/>
          <w:i/>
          <w:sz w:val="26"/>
          <w:szCs w:val="26"/>
        </w:rPr>
        <w:t>Monetier</w:t>
      </w:r>
      <w:proofErr w:type="spellEnd"/>
      <w:r w:rsidRPr="001D4D1B">
        <w:rPr>
          <w:rFonts w:asciiTheme="minorHAnsi" w:hAnsiTheme="minorHAnsi" w:cstheme="minorHAnsi"/>
          <w:i/>
          <w:sz w:val="26"/>
          <w:szCs w:val="26"/>
        </w:rPr>
        <w:t xml:space="preserve"> </w:t>
      </w:r>
      <w:proofErr w:type="spellStart"/>
      <w:r w:rsidRPr="001D4D1B">
        <w:rPr>
          <w:rFonts w:asciiTheme="minorHAnsi" w:hAnsiTheme="minorHAnsi" w:cstheme="minorHAnsi"/>
          <w:i/>
          <w:sz w:val="26"/>
          <w:szCs w:val="26"/>
        </w:rPr>
        <w:t>Sestrière</w:t>
      </w:r>
      <w:proofErr w:type="spellEnd"/>
      <w:r w:rsidRPr="001D4D1B">
        <w:rPr>
          <w:rFonts w:asciiTheme="minorHAnsi" w:hAnsiTheme="minorHAnsi" w:cstheme="minorHAnsi"/>
          <w:sz w:val="26"/>
          <w:szCs w:val="26"/>
        </w:rPr>
        <w:t xml:space="preserve"> dans les hautes alpes à </w:t>
      </w:r>
      <w:smartTag w:uri="urn:schemas-microsoft-com:office:smarttags" w:element="metricconverter">
        <w:smartTagPr>
          <w:attr w:name="ProductID" w:val="2000 m"/>
        </w:smartTagPr>
        <w:r w:rsidRPr="001D4D1B">
          <w:rPr>
            <w:rFonts w:asciiTheme="minorHAnsi" w:hAnsiTheme="minorHAnsi" w:cstheme="minorHAnsi"/>
            <w:sz w:val="26"/>
            <w:szCs w:val="26"/>
          </w:rPr>
          <w:t>2000 m</w:t>
        </w:r>
      </w:smartTag>
      <w:r w:rsidRPr="001D4D1B">
        <w:rPr>
          <w:rFonts w:asciiTheme="minorHAnsi" w:hAnsiTheme="minorHAnsi" w:cstheme="minorHAnsi"/>
          <w:sz w:val="26"/>
          <w:szCs w:val="26"/>
        </w:rPr>
        <w:t xml:space="preserve"> d’altitude à 11</w:t>
      </w:r>
      <w:r w:rsidRPr="001D4D1B">
        <w:rPr>
          <w:rFonts w:asciiTheme="minorHAnsi" w:hAnsiTheme="minorHAnsi" w:cstheme="minorHAnsi"/>
          <w:sz w:val="26"/>
          <w:szCs w:val="26"/>
        </w:rPr>
        <w:t xml:space="preserve">26 DJU au Cap Corse à </w:t>
      </w:r>
      <w:smartTag w:uri="urn:schemas-microsoft-com:office:smarttags" w:element="metricconverter">
        <w:smartTagPr>
          <w:attr w:name="ProductID" w:val="110 m"/>
        </w:smartTagPr>
        <w:r w:rsidRPr="001D4D1B">
          <w:rPr>
            <w:rFonts w:asciiTheme="minorHAnsi" w:hAnsiTheme="minorHAnsi" w:cstheme="minorHAnsi"/>
            <w:sz w:val="26"/>
            <w:szCs w:val="26"/>
          </w:rPr>
          <w:t>110 m</w:t>
        </w:r>
      </w:smartTag>
      <w:r w:rsidRPr="001D4D1B">
        <w:rPr>
          <w:rFonts w:asciiTheme="minorHAnsi" w:hAnsiTheme="minorHAnsi" w:cstheme="minorHAnsi"/>
          <w:sz w:val="26"/>
          <w:szCs w:val="26"/>
        </w:rPr>
        <w:t xml:space="preserve"> d’altitude). Ce  classement ne donne donc qu'une image de la température extérieure moyenne qui peut varier notablement d'une année sur l'autre en fonction de la rigueur de l'hiver considéré.</w:t>
      </w:r>
      <w:r w:rsidR="001D4D1B">
        <w:rPr>
          <w:rFonts w:asciiTheme="minorHAnsi" w:hAnsiTheme="minorHAnsi" w:cstheme="minorHAnsi"/>
          <w:sz w:val="26"/>
          <w:szCs w:val="26"/>
        </w:rPr>
        <w:t xml:space="preserve"> </w:t>
      </w:r>
      <w:r w:rsidRPr="001D4D1B">
        <w:rPr>
          <w:rFonts w:asciiTheme="minorHAnsi" w:hAnsiTheme="minorHAnsi" w:cstheme="minorHAnsi"/>
          <w:sz w:val="26"/>
          <w:szCs w:val="26"/>
        </w:rPr>
        <w:t>La France</w:t>
      </w:r>
      <w:r w:rsidRPr="001D4D1B">
        <w:rPr>
          <w:rFonts w:asciiTheme="minorHAnsi" w:hAnsiTheme="minorHAnsi" w:cstheme="minorHAnsi"/>
          <w:sz w:val="26"/>
          <w:szCs w:val="26"/>
        </w:rPr>
        <w:t xml:space="preserve"> est divisée en 3 zones</w:t>
      </w:r>
      <w:r w:rsidRPr="001D4D1B">
        <w:rPr>
          <w:rFonts w:asciiTheme="minorHAnsi" w:hAnsiTheme="minorHAnsi" w:cstheme="minorHAnsi"/>
          <w:sz w:val="26"/>
          <w:szCs w:val="26"/>
        </w:rPr>
        <w:t> </w:t>
      </w:r>
      <w:r w:rsidRPr="001D4D1B">
        <w:rPr>
          <w:rFonts w:asciiTheme="minorHAnsi" w:hAnsiTheme="minorHAnsi" w:cstheme="minorHAnsi"/>
          <w:sz w:val="26"/>
          <w:szCs w:val="26"/>
        </w:rPr>
        <w:t>: La zone H1, au climat plus sévère, située dans les régions nord est incluant le massif central, la zone H2 constituée par la partie sud ouest de la France et la zone H3</w:t>
      </w:r>
      <w:r w:rsidRPr="001D4D1B">
        <w:rPr>
          <w:rFonts w:asciiTheme="minorHAnsi" w:hAnsiTheme="minorHAnsi" w:cstheme="minorHAnsi"/>
          <w:sz w:val="26"/>
          <w:szCs w:val="26"/>
        </w:rPr>
        <w:t>, la plus favorable comprenant le littoral méditerranéen et l</w:t>
      </w:r>
      <w:r w:rsidRPr="001D4D1B">
        <w:rPr>
          <w:rFonts w:asciiTheme="minorHAnsi" w:hAnsiTheme="minorHAnsi" w:cstheme="minorHAnsi"/>
          <w:sz w:val="26"/>
          <w:szCs w:val="26"/>
        </w:rPr>
        <w:t>a Corse</w:t>
      </w:r>
      <w:r w:rsidR="001D4D1B">
        <w:rPr>
          <w:rFonts w:asciiTheme="minorHAnsi" w:hAnsiTheme="minorHAnsi" w:cstheme="minorHAnsi"/>
          <w:sz w:val="26"/>
          <w:szCs w:val="26"/>
        </w:rPr>
        <w:t>.</w:t>
      </w:r>
    </w:p>
    <w:p w:rsidR="001D4D1B" w:rsidRPr="001D4D1B" w:rsidRDefault="001D4D1B" w:rsidP="001D4D1B">
      <w:pPr>
        <w:ind w:left="-57"/>
        <w:jc w:val="both"/>
        <w:rPr>
          <w:rFonts w:asciiTheme="minorHAnsi" w:hAnsiTheme="minorHAnsi" w:cstheme="minorHAnsi"/>
          <w:i/>
        </w:rPr>
      </w:pPr>
    </w:p>
    <w:p w:rsidR="00000000" w:rsidRDefault="008F6A2C">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Default="001D4D1B">
      <w:pPr>
        <w:tabs>
          <w:tab w:val="left" w:pos="4860"/>
        </w:tabs>
        <w:ind w:left="567" w:right="567"/>
        <w:jc w:val="both"/>
        <w:rPr>
          <w:rFonts w:asciiTheme="minorHAnsi" w:hAnsiTheme="minorHAnsi" w:cstheme="minorHAnsi"/>
          <w:i/>
          <w:sz w:val="28"/>
          <w:szCs w:val="28"/>
        </w:rPr>
      </w:pPr>
    </w:p>
    <w:p w:rsidR="001D4D1B" w:rsidRPr="00FF5B5B" w:rsidRDefault="001D4D1B">
      <w:pPr>
        <w:tabs>
          <w:tab w:val="left" w:pos="4860"/>
        </w:tabs>
        <w:ind w:left="567" w:right="567"/>
        <w:jc w:val="both"/>
        <w:rPr>
          <w:rFonts w:asciiTheme="minorHAnsi" w:hAnsiTheme="minorHAnsi" w:cstheme="minorHAnsi"/>
          <w:i/>
          <w:sz w:val="28"/>
          <w:szCs w:val="28"/>
        </w:rPr>
      </w:pPr>
    </w:p>
    <w:p w:rsidR="00000000" w:rsidRPr="001D4D1B" w:rsidRDefault="008F6A2C" w:rsidP="001D4D1B">
      <w:pPr>
        <w:spacing w:line="360" w:lineRule="atLeast"/>
        <w:rPr>
          <w:rFonts w:asciiTheme="minorHAnsi" w:hAnsiTheme="minorHAnsi" w:cstheme="minorHAnsi"/>
          <w:b/>
          <w:bCs/>
          <w:i/>
        </w:rPr>
      </w:pPr>
      <w:r w:rsidRPr="001D4D1B">
        <w:rPr>
          <w:rFonts w:asciiTheme="minorHAnsi" w:hAnsiTheme="minorHAnsi" w:cstheme="minorHAnsi"/>
          <w:b/>
          <w:bCs/>
          <w:i/>
        </w:rPr>
        <w:t>NOTA  IMPORTANT</w:t>
      </w:r>
    </w:p>
    <w:p w:rsidR="00000000" w:rsidRPr="001D4D1B" w:rsidRDefault="008F6A2C" w:rsidP="00C53471">
      <w:pPr>
        <w:spacing w:line="360" w:lineRule="atLeast"/>
        <w:ind w:right="283"/>
        <w:jc w:val="both"/>
        <w:rPr>
          <w:rFonts w:asciiTheme="minorHAnsi" w:hAnsiTheme="minorHAnsi" w:cstheme="minorHAnsi"/>
          <w:bCs/>
        </w:rPr>
      </w:pPr>
      <w:r w:rsidRPr="001D4D1B">
        <w:rPr>
          <w:rFonts w:asciiTheme="minorHAnsi" w:hAnsiTheme="minorHAnsi" w:cstheme="minorHAnsi"/>
          <w:bCs/>
        </w:rPr>
        <w:t xml:space="preserve">Il est maintenant possible d'obtenir à partir du site de </w:t>
      </w:r>
      <w:proofErr w:type="spellStart"/>
      <w:r w:rsidRPr="001D4D1B">
        <w:rPr>
          <w:rFonts w:asciiTheme="minorHAnsi" w:hAnsiTheme="minorHAnsi" w:cstheme="minorHAnsi"/>
          <w:bCs/>
        </w:rPr>
        <w:t>Sofratherm</w:t>
      </w:r>
      <w:proofErr w:type="spellEnd"/>
      <w:r w:rsidRPr="001D4D1B">
        <w:rPr>
          <w:rFonts w:asciiTheme="minorHAnsi" w:hAnsiTheme="minorHAnsi" w:cstheme="minorHAnsi"/>
          <w:bCs/>
        </w:rPr>
        <w:t xml:space="preserve"> la valeur des</w:t>
      </w:r>
      <w:r w:rsidRPr="001D4D1B">
        <w:rPr>
          <w:rFonts w:asciiTheme="minorHAnsi" w:hAnsiTheme="minorHAnsi" w:cstheme="minorHAnsi"/>
          <w:bCs/>
        </w:rPr>
        <w:t xml:space="preserve"> </w:t>
      </w:r>
      <w:r w:rsidRPr="001D4D1B">
        <w:rPr>
          <w:rFonts w:asciiTheme="minorHAnsi" w:hAnsiTheme="minorHAnsi" w:cstheme="minorHAnsi"/>
          <w:bCs/>
          <w:color w:val="000000" w:themeColor="text1"/>
        </w:rPr>
        <w:t>DJU entre deux dates</w:t>
      </w:r>
      <w:r w:rsidRPr="001D4D1B">
        <w:rPr>
          <w:rFonts w:asciiTheme="minorHAnsi" w:hAnsiTheme="minorHAnsi" w:cstheme="minorHAnsi"/>
          <w:bCs/>
        </w:rPr>
        <w:t xml:space="preserve"> </w:t>
      </w:r>
      <w:r w:rsidRPr="001D4D1B">
        <w:rPr>
          <w:rFonts w:asciiTheme="minorHAnsi" w:hAnsiTheme="minorHAnsi" w:cstheme="minorHAnsi"/>
          <w:bCs/>
        </w:rPr>
        <w:t>pour les 3 principales stations de la région parisienne (</w:t>
      </w:r>
      <w:proofErr w:type="spellStart"/>
      <w:r w:rsidRPr="001D4D1B">
        <w:rPr>
          <w:rFonts w:asciiTheme="minorHAnsi" w:hAnsiTheme="minorHAnsi" w:cstheme="minorHAnsi"/>
          <w:bCs/>
        </w:rPr>
        <w:t>Monsouris</w:t>
      </w:r>
      <w:proofErr w:type="spellEnd"/>
      <w:r w:rsidRPr="001D4D1B">
        <w:rPr>
          <w:rFonts w:asciiTheme="minorHAnsi" w:hAnsiTheme="minorHAnsi" w:cstheme="minorHAnsi"/>
          <w:bCs/>
        </w:rPr>
        <w:t>, Orly et le Bourget)</w:t>
      </w:r>
      <w:r w:rsidR="001D4D1B">
        <w:rPr>
          <w:rFonts w:asciiTheme="minorHAnsi" w:hAnsiTheme="minorHAnsi" w:cstheme="minorHAnsi"/>
          <w:bCs/>
        </w:rPr>
        <w:t xml:space="preserve">. </w:t>
      </w:r>
      <w:r w:rsidRPr="001D4D1B">
        <w:rPr>
          <w:rFonts w:asciiTheme="minorHAnsi" w:hAnsiTheme="minorHAnsi" w:cstheme="minorHAnsi"/>
          <w:bCs/>
        </w:rPr>
        <w:t>Il aussi pos</w:t>
      </w:r>
      <w:r w:rsidRPr="001D4D1B">
        <w:rPr>
          <w:rFonts w:asciiTheme="minorHAnsi" w:hAnsiTheme="minorHAnsi" w:cstheme="minorHAnsi"/>
          <w:bCs/>
        </w:rPr>
        <w:t>sible de disposer des</w:t>
      </w:r>
      <w:r w:rsidRPr="001D4D1B">
        <w:rPr>
          <w:rFonts w:asciiTheme="minorHAnsi" w:hAnsiTheme="minorHAnsi" w:cstheme="minorHAnsi"/>
          <w:bCs/>
        </w:rPr>
        <w:t xml:space="preserve"> </w:t>
      </w:r>
      <w:r w:rsidRPr="001D4D1B">
        <w:rPr>
          <w:rFonts w:asciiTheme="minorHAnsi" w:hAnsiTheme="minorHAnsi" w:cstheme="minorHAnsi"/>
          <w:bCs/>
          <w:color w:val="000000" w:themeColor="text1"/>
        </w:rPr>
        <w:t>DJU annuels  pour les autres régions de France</w:t>
      </w:r>
      <w:r w:rsidRPr="001D4D1B">
        <w:rPr>
          <w:rFonts w:asciiTheme="minorHAnsi" w:hAnsiTheme="minorHAnsi" w:cstheme="minorHAnsi"/>
          <w:bCs/>
        </w:rPr>
        <w:t xml:space="preserve"> en tenant compte de l'altitude du site à partir du livre </w:t>
      </w:r>
      <w:r w:rsidRPr="00C53471">
        <w:rPr>
          <w:rFonts w:asciiTheme="minorHAnsi" w:hAnsiTheme="minorHAnsi" w:cstheme="minorHAnsi"/>
          <w:bCs/>
          <w:color w:val="000000" w:themeColor="text1"/>
        </w:rPr>
        <w:t>« Les pompes à chaleur »</w:t>
      </w:r>
      <w:r w:rsidRPr="001D4D1B">
        <w:rPr>
          <w:rFonts w:asciiTheme="minorHAnsi" w:hAnsiTheme="minorHAnsi" w:cstheme="minorHAnsi"/>
          <w:bCs/>
          <w:color w:val="000000" w:themeColor="text1"/>
        </w:rPr>
        <w:t xml:space="preserve"> </w:t>
      </w:r>
      <w:r w:rsidRPr="001D4D1B">
        <w:rPr>
          <w:rFonts w:asciiTheme="minorHAnsi" w:hAnsiTheme="minorHAnsi" w:cstheme="minorHAnsi"/>
          <w:bCs/>
        </w:rPr>
        <w:t xml:space="preserve">de Bruno </w:t>
      </w:r>
      <w:proofErr w:type="spellStart"/>
      <w:r w:rsidRPr="001D4D1B">
        <w:rPr>
          <w:rFonts w:asciiTheme="minorHAnsi" w:hAnsiTheme="minorHAnsi" w:cstheme="minorHAnsi"/>
          <w:bCs/>
        </w:rPr>
        <w:t>Beranger</w:t>
      </w:r>
      <w:proofErr w:type="spellEnd"/>
      <w:r w:rsidRPr="001D4D1B">
        <w:rPr>
          <w:rFonts w:asciiTheme="minorHAnsi" w:hAnsiTheme="minorHAnsi" w:cstheme="minorHAnsi"/>
          <w:bCs/>
        </w:rPr>
        <w:t xml:space="preserve"> </w:t>
      </w:r>
    </w:p>
    <w:p w:rsidR="00000000" w:rsidRDefault="008F6A2C">
      <w:pPr>
        <w:ind w:left="567" w:right="567"/>
        <w:jc w:val="both"/>
        <w:rPr>
          <w:rFonts w:asciiTheme="minorHAnsi" w:hAnsiTheme="minorHAnsi" w:cstheme="minorHAnsi"/>
          <w:b/>
          <w:bCs/>
          <w:sz w:val="28"/>
          <w:szCs w:val="28"/>
        </w:rPr>
      </w:pPr>
    </w:p>
    <w:p w:rsidR="001D4D1B" w:rsidRDefault="001D4D1B">
      <w:pPr>
        <w:ind w:left="567" w:right="567"/>
        <w:jc w:val="both"/>
        <w:rPr>
          <w:rFonts w:asciiTheme="minorHAnsi" w:hAnsiTheme="minorHAnsi" w:cstheme="minorHAnsi"/>
          <w:b/>
          <w:bCs/>
          <w:sz w:val="28"/>
          <w:szCs w:val="28"/>
        </w:rPr>
      </w:pPr>
    </w:p>
    <w:p w:rsidR="001D4D1B" w:rsidRDefault="001D4D1B">
      <w:pPr>
        <w:ind w:left="567" w:right="567"/>
        <w:jc w:val="both"/>
        <w:rPr>
          <w:rFonts w:asciiTheme="minorHAnsi" w:hAnsiTheme="minorHAnsi" w:cstheme="minorHAnsi"/>
          <w:b/>
          <w:bCs/>
          <w:sz w:val="28"/>
          <w:szCs w:val="28"/>
        </w:rPr>
      </w:pPr>
    </w:p>
    <w:p w:rsidR="001D4D1B" w:rsidRDefault="001D4D1B">
      <w:pPr>
        <w:ind w:left="567" w:right="567"/>
        <w:jc w:val="both"/>
        <w:rPr>
          <w:rFonts w:asciiTheme="minorHAnsi" w:hAnsiTheme="minorHAnsi" w:cstheme="minorHAnsi"/>
          <w:b/>
          <w:bCs/>
          <w:sz w:val="28"/>
          <w:szCs w:val="28"/>
        </w:rPr>
      </w:pPr>
    </w:p>
    <w:p w:rsidR="001D4D1B" w:rsidRDefault="001D4D1B">
      <w:pPr>
        <w:ind w:left="567" w:right="567"/>
        <w:jc w:val="both"/>
        <w:rPr>
          <w:rFonts w:asciiTheme="minorHAnsi" w:hAnsiTheme="minorHAnsi" w:cstheme="minorHAnsi"/>
          <w:b/>
          <w:bCs/>
          <w:sz w:val="28"/>
          <w:szCs w:val="28"/>
        </w:rPr>
      </w:pPr>
    </w:p>
    <w:p w:rsidR="001D4D1B" w:rsidRDefault="001D4D1B">
      <w:pPr>
        <w:ind w:left="567" w:right="567"/>
        <w:jc w:val="both"/>
        <w:rPr>
          <w:rFonts w:asciiTheme="minorHAnsi" w:hAnsiTheme="minorHAnsi" w:cstheme="minorHAnsi"/>
          <w:b/>
          <w:bCs/>
          <w:sz w:val="28"/>
          <w:szCs w:val="28"/>
        </w:rPr>
      </w:pPr>
    </w:p>
    <w:p w:rsidR="001D4D1B" w:rsidRPr="001D4D1B" w:rsidRDefault="001D4D1B" w:rsidP="001D4D1B">
      <w:pPr>
        <w:ind w:left="-57"/>
        <w:jc w:val="both"/>
        <w:rPr>
          <w:rFonts w:asciiTheme="minorHAnsi" w:hAnsiTheme="minorHAnsi" w:cstheme="minorHAnsi"/>
          <w:sz w:val="26"/>
          <w:szCs w:val="26"/>
        </w:rPr>
      </w:pPr>
      <w:bookmarkStart w:id="0" w:name="_GoBack"/>
      <w:bookmarkEnd w:id="0"/>
    </w:p>
    <w:p w:rsidR="001D4D1B" w:rsidRPr="00FF5B5B" w:rsidRDefault="001D4D1B" w:rsidP="001D4D1B">
      <w:pPr>
        <w:ind w:left="567" w:right="567"/>
        <w:jc w:val="both"/>
        <w:rPr>
          <w:rFonts w:asciiTheme="minorHAnsi" w:hAnsiTheme="minorHAnsi" w:cstheme="minorHAnsi"/>
          <w:sz w:val="28"/>
          <w:szCs w:val="28"/>
        </w:rPr>
      </w:pPr>
    </w:p>
    <w:p w:rsidR="001D4D1B" w:rsidRPr="00FF5B5B" w:rsidRDefault="001D4D1B" w:rsidP="001D4D1B">
      <w:pPr>
        <w:ind w:left="142" w:right="567"/>
        <w:jc w:val="center"/>
        <w:rPr>
          <w:rFonts w:asciiTheme="minorHAnsi" w:hAnsiTheme="minorHAnsi" w:cstheme="minorHAnsi"/>
          <w:sz w:val="28"/>
          <w:szCs w:val="28"/>
        </w:rPr>
      </w:pPr>
      <w:r w:rsidRPr="00FF5B5B">
        <w:rPr>
          <w:rFonts w:asciiTheme="minorHAnsi" w:hAnsiTheme="minorHAnsi" w:cstheme="minorHAnsi"/>
          <w:noProof/>
        </w:rPr>
        <w:drawing>
          <wp:inline distT="0" distB="0" distL="0" distR="0" wp14:anchorId="5F5EC4DA" wp14:editId="51B2D7C1">
            <wp:extent cx="6028061" cy="5007769"/>
            <wp:effectExtent l="0" t="0" r="0" b="2540"/>
            <wp:docPr id="1" name="Image 1" descr="Description : Description : Description : E:\Jean\Mes sites Web\site-CK\RE\riv+ener\energie-sans-riviere\DJU\d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Description : Description : E:\Jean\Mes sites Web\site-CK\RE\riv+ener\energie-sans-riviere\DJU\dju.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032332" cy="5011317"/>
                    </a:xfrm>
                    <a:prstGeom prst="rect">
                      <a:avLst/>
                    </a:prstGeom>
                    <a:noFill/>
                    <a:ln>
                      <a:noFill/>
                    </a:ln>
                  </pic:spPr>
                </pic:pic>
              </a:graphicData>
            </a:graphic>
          </wp:inline>
        </w:drawing>
      </w:r>
    </w:p>
    <w:p w:rsidR="001D4D1B" w:rsidRDefault="001D4D1B" w:rsidP="001D4D1B">
      <w:pPr>
        <w:tabs>
          <w:tab w:val="left" w:pos="4860"/>
        </w:tabs>
        <w:jc w:val="both"/>
        <w:rPr>
          <w:rFonts w:asciiTheme="minorHAnsi" w:hAnsiTheme="minorHAnsi" w:cstheme="minorHAnsi"/>
          <w:i/>
        </w:rPr>
      </w:pPr>
    </w:p>
    <w:p w:rsidR="001D4D1B" w:rsidRDefault="001D4D1B" w:rsidP="001D4D1B">
      <w:pPr>
        <w:tabs>
          <w:tab w:val="left" w:pos="4860"/>
        </w:tabs>
        <w:jc w:val="both"/>
        <w:rPr>
          <w:rFonts w:asciiTheme="minorHAnsi" w:hAnsiTheme="minorHAnsi" w:cstheme="minorHAnsi"/>
          <w:i/>
        </w:rPr>
      </w:pPr>
    </w:p>
    <w:p w:rsidR="001D4D1B" w:rsidRPr="001D4D1B" w:rsidRDefault="001D4D1B" w:rsidP="001D4D1B">
      <w:pPr>
        <w:tabs>
          <w:tab w:val="left" w:pos="4860"/>
        </w:tabs>
        <w:jc w:val="both"/>
        <w:rPr>
          <w:rFonts w:asciiTheme="minorHAnsi" w:hAnsiTheme="minorHAnsi" w:cstheme="minorHAnsi"/>
          <w:i/>
        </w:rPr>
      </w:pPr>
      <w:r w:rsidRPr="001D4D1B">
        <w:rPr>
          <w:rFonts w:asciiTheme="minorHAnsi" w:hAnsiTheme="minorHAnsi" w:cstheme="minorHAnsi"/>
          <w:i/>
        </w:rPr>
        <w:t xml:space="preserve">La courbe monotone ci-dessus correspond à un logement situé en région parisienne. La période de chauffe de 232 jours a été tracée pour une température intérieure souhaitée de </w:t>
      </w:r>
      <w:smartTag w:uri="urn:schemas-microsoft-com:office:smarttags" w:element="metricconverter">
        <w:smartTagPr>
          <w:attr w:name="ProductID" w:val="18°C"/>
        </w:smartTagPr>
        <w:r w:rsidRPr="001D4D1B">
          <w:rPr>
            <w:rFonts w:asciiTheme="minorHAnsi" w:hAnsiTheme="minorHAnsi" w:cstheme="minorHAnsi"/>
            <w:i/>
          </w:rPr>
          <w:t>18°C</w:t>
        </w:r>
      </w:smartTag>
      <w:r w:rsidRPr="001D4D1B">
        <w:rPr>
          <w:rFonts w:asciiTheme="minorHAnsi" w:hAnsiTheme="minorHAnsi" w:cstheme="minorHAnsi"/>
          <w:i/>
        </w:rPr>
        <w:t>. L’addition des DJU journaliers conduit à un DJU pour l’année considérée égal à 2432 °C. Elle permet de mieux préciser la répartition dans le temps des kWh consommés pendant la période de chauffe (hiver et mi saison). La surface bleue représente l'énergie thermique assurant le chauffage.  W (</w:t>
      </w:r>
      <w:proofErr w:type="gramStart"/>
      <w:r w:rsidRPr="001D4D1B">
        <w:rPr>
          <w:rFonts w:asciiTheme="minorHAnsi" w:hAnsiTheme="minorHAnsi" w:cstheme="minorHAnsi"/>
          <w:i/>
        </w:rPr>
        <w:t>énergie</w:t>
      </w:r>
      <w:proofErr w:type="gramEnd"/>
      <w:r w:rsidRPr="001D4D1B">
        <w:rPr>
          <w:rFonts w:asciiTheme="minorHAnsi" w:hAnsiTheme="minorHAnsi" w:cstheme="minorHAnsi"/>
          <w:i/>
        </w:rPr>
        <w:t xml:space="preserve">) = P (puissance) x T (temps). Si cette énergie correspond à une consommation annuelle de fioul de </w:t>
      </w:r>
      <w:smartTag w:uri="urn:schemas-microsoft-com:office:smarttags" w:element="metricconverter">
        <w:smartTagPr>
          <w:attr w:name="ProductID" w:val="150 m3"/>
        </w:smartTagPr>
        <w:r w:rsidRPr="001D4D1B">
          <w:rPr>
            <w:rFonts w:asciiTheme="minorHAnsi" w:hAnsiTheme="minorHAnsi" w:cstheme="minorHAnsi"/>
            <w:i/>
          </w:rPr>
          <w:t>150 m3</w:t>
        </w:r>
      </w:smartTag>
      <w:r w:rsidRPr="001D4D1B">
        <w:rPr>
          <w:rFonts w:asciiTheme="minorHAnsi" w:hAnsiTheme="minorHAnsi" w:cstheme="minorHAnsi"/>
          <w:i/>
        </w:rPr>
        <w:t xml:space="preserve"> (1 500 000 kWh) l’immeuble considéré est caractérisé par un coefficient Z de   1500 000 / 2432 = 616 kWh par DJU</w:t>
      </w:r>
    </w:p>
    <w:p w:rsidR="001D4D1B" w:rsidRPr="00FF5B5B" w:rsidRDefault="001D4D1B">
      <w:pPr>
        <w:ind w:left="567" w:right="567"/>
        <w:jc w:val="both"/>
        <w:rPr>
          <w:rFonts w:asciiTheme="minorHAnsi" w:hAnsiTheme="minorHAnsi" w:cstheme="minorHAnsi"/>
          <w:b/>
          <w:bCs/>
          <w:sz w:val="28"/>
          <w:szCs w:val="28"/>
        </w:rPr>
      </w:pPr>
    </w:p>
    <w:p w:rsidR="00000000" w:rsidRPr="00FF5B5B" w:rsidRDefault="008F6A2C">
      <w:pPr>
        <w:jc w:val="center"/>
        <w:rPr>
          <w:rFonts w:asciiTheme="minorHAnsi" w:hAnsiTheme="minorHAnsi" w:cstheme="minorHAnsi"/>
          <w:b/>
          <w:bCs/>
          <w:sz w:val="8"/>
          <w:szCs w:val="8"/>
        </w:rPr>
      </w:pPr>
    </w:p>
    <w:p w:rsidR="00000000" w:rsidRPr="00FF5B5B" w:rsidRDefault="008F6A2C">
      <w:pPr>
        <w:tabs>
          <w:tab w:val="left" w:pos="4860"/>
        </w:tabs>
        <w:ind w:right="202"/>
        <w:jc w:val="both"/>
        <w:rPr>
          <w:rFonts w:asciiTheme="minorHAnsi" w:hAnsiTheme="minorHAnsi" w:cstheme="minorHAnsi"/>
          <w:i/>
        </w:rPr>
      </w:pPr>
      <w:r w:rsidRPr="00FF5B5B">
        <w:rPr>
          <w:rFonts w:asciiTheme="minorHAnsi" w:hAnsiTheme="minorHAnsi" w:cstheme="minorHAnsi"/>
          <w:i/>
          <w:iCs/>
          <w:sz w:val="8"/>
          <w:szCs w:val="8"/>
        </w:rPr>
        <w:br/>
      </w:r>
      <w:r w:rsidRPr="00FF5B5B">
        <w:rPr>
          <w:rFonts w:asciiTheme="minorHAnsi" w:hAnsiTheme="minorHAnsi" w:cstheme="minorHAnsi"/>
          <w:i/>
        </w:rPr>
        <w:t xml:space="preserve"> </w:t>
      </w:r>
    </w:p>
    <w:p w:rsidR="008F6A2C" w:rsidRPr="00FF5B5B" w:rsidRDefault="008F6A2C">
      <w:pPr>
        <w:ind w:left="567" w:right="3969"/>
        <w:rPr>
          <w:rFonts w:asciiTheme="minorHAnsi" w:hAnsiTheme="minorHAnsi" w:cstheme="minorHAnsi"/>
          <w:i/>
        </w:rPr>
      </w:pPr>
      <w:r w:rsidRPr="00FF5B5B">
        <w:rPr>
          <w:rFonts w:asciiTheme="minorHAnsi" w:hAnsiTheme="minorHAnsi" w:cstheme="minorHAnsi"/>
          <w:i/>
        </w:rPr>
        <w:t>.</w:t>
      </w:r>
    </w:p>
    <w:sectPr w:rsidR="008F6A2C" w:rsidRPr="00FF5B5B" w:rsidSect="001D4D1B">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F5B5B"/>
    <w:rsid w:val="001D4D1B"/>
    <w:rsid w:val="008F6A2C"/>
    <w:rsid w:val="00C53471"/>
    <w:rsid w:val="00FF5B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0000FF"/>
      <w:u w:val="single"/>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0000FF"/>
      <w:u w:val="single"/>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Jean\Mes%20sites%20Web\site-RE\riv+ener\energie-sans-riviere\DJU\dju.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les degrés jours unifiés permettent d'évaluer la sévérité du zt Pour chaque jour de la période de chauffage (232 jours) rfér</vt:lpstr>
    </vt:vector>
  </TitlesOfParts>
  <Company>Grossmann</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les degrés jours unifiés permettent d'évaluer la sévérité du zt Pour chaque jour de la période de chauffage (232 jours) rfér</dc:title>
  <dc:creator>Jean Grossmann</dc:creator>
  <cp:lastModifiedBy>knx</cp:lastModifiedBy>
  <cp:revision>3</cp:revision>
  <dcterms:created xsi:type="dcterms:W3CDTF">2012-10-19T15:50:00Z</dcterms:created>
  <dcterms:modified xsi:type="dcterms:W3CDTF">2012-10-19T16:00:00Z</dcterms:modified>
</cp:coreProperties>
</file>